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Schedule 14 (Service Levels)</w:t>
      </w:r>
    </w:p>
    <w:p w:rsidR="00000000" w:rsidDel="00000000" w:rsidP="00000000" w:rsidRDefault="00000000" w:rsidRPr="00000000" w14:paraId="0000000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1"/>
          <w:strike w:val="0"/>
          <w:color w:val="000000"/>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1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2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Part A: Service Levels and Service Credits </w:t>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2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A to Part A of this Schedule. </w:t>
      </w:r>
    </w:p>
    <w:p w:rsidR="00000000" w:rsidDel="00000000" w:rsidP="00000000" w:rsidRDefault="00000000" w:rsidRPr="00000000" w14:paraId="00000038">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Annex A to Part A: Service Levels and Service Credits Table</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before="10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 Note: </w:t>
      </w:r>
      <w:r w:rsidDel="00000000" w:rsidR="00000000" w:rsidRPr="00000000">
        <w:rPr>
          <w:rFonts w:ascii="Arial" w:cs="Arial" w:eastAsia="Arial" w:hAnsi="Arial"/>
          <w:sz w:val="24"/>
          <w:szCs w:val="24"/>
          <w:highlight w:val="yellow"/>
          <w:rtl w:val="0"/>
        </w:rPr>
        <w:t xml:space="preserve">The following table and calculation are included by way of example only.  Buyers will need to review and amend the KPIs to reflect their specific requirements and determine which service levels will/will not attract service credits.</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before="10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Procurement-specific Service Levels (or KPIs) and formulae, including Service Levels relating to Social Value, should be incorporated. In line with the </w:t>
      </w:r>
      <w:hyperlink r:id="rId7">
        <w:r w:rsidDel="00000000" w:rsidR="00000000" w:rsidRPr="00000000">
          <w:rPr>
            <w:rFonts w:ascii="Arial" w:cs="Arial" w:eastAsia="Arial" w:hAnsi="Arial"/>
            <w:color w:val="0000ff"/>
            <w:sz w:val="24"/>
            <w:szCs w:val="24"/>
            <w:highlight w:val="yellow"/>
            <w:u w:val="single"/>
            <w:rtl w:val="0"/>
          </w:rPr>
          <w:t xml:space="preserve">Sourcing Playbook</w:t>
        </w:r>
      </w:hyperlink>
      <w:r w:rsidDel="00000000" w:rsidR="00000000" w:rsidRPr="00000000">
        <w:rPr>
          <w:rFonts w:ascii="Arial" w:cs="Arial" w:eastAsia="Arial" w:hAnsi="Arial"/>
          <w:sz w:val="24"/>
          <w:szCs w:val="24"/>
          <w:highlight w:val="yellow"/>
          <w:rtl w:val="0"/>
        </w:rPr>
        <w:t xml:space="preserve">, it is HMG’s intention to publish the top Service Levels for the Government’s most important contracts. Where this publication requirement applies to this Contract, the Buyer must select at least three Service Levels which shall be publishable and must also select the single most important Social Value Service Level, which shall also be publishable (four Service Levels in total). Buyers can indicate which are publishable in the table below.]</w:t>
      </w:r>
      <w:r w:rsidDel="00000000" w:rsidR="00000000" w:rsidRPr="00000000">
        <w:rPr>
          <w:rtl w:val="0"/>
        </w:rPr>
      </w:r>
    </w:p>
    <w:tbl>
      <w:tblPr>
        <w:tblStyle w:val="Table2"/>
        <w:tblW w:w="1060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0"/>
        <w:gridCol w:w="1845"/>
        <w:gridCol w:w="1725"/>
        <w:gridCol w:w="1380"/>
        <w:gridCol w:w="1860"/>
        <w:gridCol w:w="2085"/>
        <w:tblGridChange w:id="0">
          <w:tblGrid>
            <w:gridCol w:w="1710"/>
            <w:gridCol w:w="1845"/>
            <w:gridCol w:w="1725"/>
            <w:gridCol w:w="1380"/>
            <w:gridCol w:w="1860"/>
            <w:gridCol w:w="2085"/>
          </w:tblGrid>
        </w:tblGridChange>
      </w:tblGrid>
      <w:tr>
        <w:trPr>
          <w:cantSplit w:val="0"/>
          <w:trHeight w:val="1213" w:hRule="atLeast"/>
          <w:tblHeader w:val="1"/>
        </w:trPr>
        <w:tc>
          <w:tcPr>
            <w:gridSpan w:val="4"/>
            <w:shd w:fill="d9d9d9" w:val="clear"/>
          </w:tcPr>
          <w:p w:rsidR="00000000" w:rsidDel="00000000" w:rsidP="00000000" w:rsidRDefault="00000000" w:rsidRPr="00000000" w14:paraId="0000003B">
            <w:pPr>
              <w:ind w:left="95" w:firstLine="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Service Levels</w:t>
            </w:r>
          </w:p>
        </w:tc>
        <w:tc>
          <w:tcPr>
            <w:vMerge w:val="restart"/>
            <w:shd w:fill="d9d9d9" w:val="clear"/>
            <w:vAlign w:val="center"/>
          </w:tcPr>
          <w:p w:rsidR="00000000" w:rsidDel="00000000" w:rsidP="00000000" w:rsidRDefault="00000000" w:rsidRPr="00000000" w14:paraId="0000003F">
            <w:pPr>
              <w:ind w:left="95" w:firstLine="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Service Credit for each Service Period</w:t>
            </w:r>
          </w:p>
          <w:p w:rsidR="00000000" w:rsidDel="00000000" w:rsidP="00000000" w:rsidRDefault="00000000" w:rsidRPr="00000000" w14:paraId="00000040">
            <w:pPr>
              <w:ind w:left="95" w:firstLine="0"/>
              <w:rPr>
                <w:rFonts w:ascii="Arial" w:cs="Arial" w:eastAsia="Arial" w:hAnsi="Arial"/>
                <w:b w:val="1"/>
                <w:sz w:val="20"/>
                <w:szCs w:val="20"/>
              </w:rPr>
            </w:pPr>
            <w:r w:rsidDel="00000000" w:rsidR="00000000" w:rsidRPr="00000000">
              <w:rPr>
                <w:rtl w:val="0"/>
              </w:rPr>
            </w:r>
          </w:p>
        </w:tc>
        <w:tc>
          <w:tcPr>
            <w:shd w:fill="d9d9d9" w:val="clear"/>
          </w:tcPr>
          <w:p w:rsidR="00000000" w:rsidDel="00000000" w:rsidP="00000000" w:rsidRDefault="00000000" w:rsidRPr="00000000" w14:paraId="00000041">
            <w:pPr>
              <w:ind w:left="95" w:firstLine="0"/>
              <w:rPr>
                <w:rFonts w:ascii="Arial" w:cs="Arial" w:eastAsia="Arial" w:hAnsi="Arial"/>
                <w:b w:val="1"/>
                <w:sz w:val="20"/>
                <w:szCs w:val="20"/>
              </w:rPr>
            </w:pPr>
            <w:r w:rsidDel="00000000" w:rsidR="00000000" w:rsidRPr="00000000">
              <w:rPr>
                <w:rtl w:val="0"/>
              </w:rPr>
            </w:r>
          </w:p>
        </w:tc>
      </w:tr>
      <w:tr>
        <w:trPr>
          <w:cantSplit w:val="0"/>
          <w:trHeight w:val="1213" w:hRule="atLeast"/>
          <w:tblHeader w:val="1"/>
        </w:trPr>
        <w:tc>
          <w:tcPr>
            <w:shd w:fill="d9d9d9" w:val="clear"/>
            <w:vAlign w:val="center"/>
          </w:tcPr>
          <w:p w:rsidR="00000000" w:rsidDel="00000000" w:rsidP="00000000" w:rsidRDefault="00000000" w:rsidRPr="00000000" w14:paraId="00000042">
            <w:pPr>
              <w:ind w:left="61" w:firstLine="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Service Level Performance Criterion</w:t>
            </w:r>
          </w:p>
        </w:tc>
        <w:tc>
          <w:tcPr>
            <w:shd w:fill="d9d9d9" w:val="clear"/>
            <w:vAlign w:val="center"/>
          </w:tcPr>
          <w:p w:rsidR="00000000" w:rsidDel="00000000" w:rsidP="00000000" w:rsidRDefault="00000000" w:rsidRPr="00000000" w14:paraId="00000043">
            <w:pPr>
              <w:ind w:left="95" w:firstLine="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Key Indicator</w:t>
            </w:r>
          </w:p>
        </w:tc>
        <w:tc>
          <w:tcPr>
            <w:shd w:fill="d9d9d9" w:val="clear"/>
            <w:vAlign w:val="center"/>
          </w:tcPr>
          <w:p w:rsidR="00000000" w:rsidDel="00000000" w:rsidP="00000000" w:rsidRDefault="00000000" w:rsidRPr="00000000" w14:paraId="00000044">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Service Level Performance Measure</w:t>
            </w:r>
          </w:p>
        </w:tc>
        <w:tc>
          <w:tcPr>
            <w:shd w:fill="d9d9d9" w:val="clear"/>
          </w:tcPr>
          <w:p w:rsidR="00000000" w:rsidDel="00000000" w:rsidP="00000000" w:rsidRDefault="00000000" w:rsidRPr="00000000" w14:paraId="00000045">
            <w:pPr>
              <w:ind w:left="95" w:firstLine="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Service Level Threshold</w:t>
            </w:r>
          </w:p>
        </w:tc>
        <w:tc>
          <w:tcPr>
            <w:vMerge w:val="continue"/>
            <w:shd w:fill="d9d9d9" w:val="cle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7">
            <w:pPr>
              <w:ind w:left="95" w:firstLine="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Publishable</w:t>
            </w:r>
          </w:p>
        </w:tc>
      </w:tr>
      <w:tr>
        <w:trPr>
          <w:cantSplit w:val="0"/>
          <w:trHeight w:val="1474" w:hRule="atLeast"/>
          <w:tblHeader w:val="0"/>
        </w:trPr>
        <w:tc>
          <w:tcPr/>
          <w:p w:rsidR="00000000" w:rsidDel="00000000" w:rsidP="00000000" w:rsidRDefault="00000000" w:rsidRPr="00000000" w14:paraId="00000048">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Accurate and timely billing of Buyer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9">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A">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Accuracy /Timeliness]</w:t>
            </w:r>
          </w:p>
          <w:p w:rsidR="00000000" w:rsidDel="00000000" w:rsidP="00000000" w:rsidRDefault="00000000" w:rsidRPr="00000000" w14:paraId="0000004B">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C">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D">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E">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4F">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0">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51">
            <w:pPr>
              <w:spacing w:after="120" w:lineRule="auto"/>
              <w:ind w:left="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[Buyer satisfaction] </w:t>
            </w:r>
          </w:p>
        </w:tc>
        <w:tc>
          <w:tcPr/>
          <w:p w:rsidR="00000000" w:rsidDel="00000000" w:rsidP="00000000" w:rsidRDefault="00000000" w:rsidRPr="00000000" w14:paraId="00000052">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[Positive feedback through survey or other mechanism]</w:t>
            </w:r>
          </w:p>
        </w:tc>
        <w:tc>
          <w:tcPr/>
          <w:p w:rsidR="00000000" w:rsidDel="00000000" w:rsidP="00000000" w:rsidRDefault="00000000" w:rsidRPr="00000000" w14:paraId="00000053">
            <w:pPr>
              <w:spacing w:after="12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 %]</w:t>
            </w:r>
          </w:p>
        </w:tc>
        <w:tc>
          <w:tcPr/>
          <w:p w:rsidR="00000000" w:rsidDel="00000000" w:rsidP="00000000" w:rsidRDefault="00000000" w:rsidRPr="00000000" w14:paraId="00000054">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55">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r w:rsidDel="00000000" w:rsidR="00000000" w:rsidRPr="00000000">
              <w:rPr>
                <w:rtl w:val="0"/>
              </w:rPr>
            </w:r>
          </w:p>
        </w:tc>
        <w:tc>
          <w:tcPr/>
          <w:p w:rsidR="00000000" w:rsidDel="00000000" w:rsidP="00000000" w:rsidRDefault="00000000" w:rsidRPr="00000000" w14:paraId="00000056">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57">
            <w:pPr>
              <w:spacing w:after="120" w:lineRule="auto"/>
              <w:ind w:left="61"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[Project completion timelines] </w:t>
            </w:r>
          </w:p>
        </w:tc>
        <w:tc>
          <w:tcPr/>
          <w:p w:rsidR="00000000" w:rsidDel="00000000" w:rsidP="00000000" w:rsidRDefault="00000000" w:rsidRPr="00000000" w14:paraId="00000058">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Adherence to project milestones/timelines</w:t>
            </w:r>
            <w:r w:rsidDel="00000000" w:rsidR="00000000" w:rsidRPr="00000000">
              <w:rPr>
                <w:rFonts w:ascii="Arial" w:cs="Arial" w:eastAsia="Arial" w:hAnsi="Arial"/>
                <w:sz w:val="24"/>
                <w:szCs w:val="24"/>
                <w:rtl w:val="0"/>
              </w:rPr>
              <w:t xml:space="preserve">]</w:t>
            </w:r>
            <w:r w:rsidDel="00000000" w:rsidR="00000000" w:rsidRPr="00000000">
              <w:rPr>
                <w:rtl w:val="0"/>
              </w:rPr>
            </w:r>
          </w:p>
        </w:tc>
        <w:tc>
          <w:tcPr/>
          <w:p w:rsidR="00000000" w:rsidDel="00000000" w:rsidP="00000000" w:rsidRDefault="00000000" w:rsidRPr="00000000" w14:paraId="00000059">
            <w:pPr>
              <w:spacing w:after="12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[100%]</w:t>
            </w:r>
          </w:p>
        </w:tc>
        <w:tc>
          <w:tcPr/>
          <w:p w:rsidR="00000000" w:rsidDel="00000000" w:rsidP="00000000" w:rsidRDefault="00000000" w:rsidRPr="00000000" w14:paraId="0000005A">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5B">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r w:rsidDel="00000000" w:rsidR="00000000" w:rsidRPr="00000000">
              <w:rPr>
                <w:rtl w:val="0"/>
              </w:rPr>
            </w:r>
          </w:p>
        </w:tc>
        <w:tc>
          <w:tcPr/>
          <w:p w:rsidR="00000000" w:rsidDel="00000000" w:rsidP="00000000" w:rsidRDefault="00000000" w:rsidRPr="00000000" w14:paraId="0000005C">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5D">
            <w:pPr>
              <w:spacing w:after="120" w:lineRule="auto"/>
              <w:ind w:left="61"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[Cost-effectiveness]:</w:t>
            </w:r>
          </w:p>
        </w:tc>
        <w:tc>
          <w:tcPr/>
          <w:p w:rsidR="00000000" w:rsidDel="00000000" w:rsidP="00000000" w:rsidRDefault="00000000" w:rsidRPr="00000000" w14:paraId="0000005E">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[Delivery of results within the agreed-upon budget]</w:t>
            </w:r>
          </w:p>
        </w:tc>
        <w:tc>
          <w:tcPr/>
          <w:p w:rsidR="00000000" w:rsidDel="00000000" w:rsidP="00000000" w:rsidRDefault="00000000" w:rsidRPr="00000000" w14:paraId="0000005F">
            <w:pPr>
              <w:spacing w:after="12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[100%]</w:t>
            </w:r>
          </w:p>
        </w:tc>
        <w:tc>
          <w:tcPr/>
          <w:p w:rsidR="00000000" w:rsidDel="00000000" w:rsidP="00000000" w:rsidRDefault="00000000" w:rsidRPr="00000000" w14:paraId="00000060">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61">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r w:rsidDel="00000000" w:rsidR="00000000" w:rsidRPr="00000000">
              <w:rPr>
                <w:rtl w:val="0"/>
              </w:rPr>
            </w:r>
          </w:p>
        </w:tc>
        <w:tc>
          <w:tcPr/>
          <w:p w:rsidR="00000000" w:rsidDel="00000000" w:rsidP="00000000" w:rsidRDefault="00000000" w:rsidRPr="00000000" w14:paraId="00000062">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63">
            <w:pPr>
              <w:spacing w:after="120" w:lineRule="auto"/>
              <w:ind w:left="61"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[Quality of deliverables]</w:t>
            </w:r>
          </w:p>
        </w:tc>
        <w:tc>
          <w:tcPr/>
          <w:p w:rsidR="00000000" w:rsidDel="00000000" w:rsidP="00000000" w:rsidRDefault="00000000" w:rsidRPr="00000000" w14:paraId="00000064">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[Ensuring that the Deliverables meet the required standards of quality and accuracy]</w:t>
            </w:r>
          </w:p>
        </w:tc>
        <w:tc>
          <w:tcPr/>
          <w:p w:rsidR="00000000" w:rsidDel="00000000" w:rsidP="00000000" w:rsidRDefault="00000000" w:rsidRPr="00000000" w14:paraId="00000065">
            <w:pPr>
              <w:spacing w:after="12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[100%]</w:t>
            </w:r>
          </w:p>
        </w:tc>
        <w:tc>
          <w:tcPr/>
          <w:p w:rsidR="00000000" w:rsidDel="00000000" w:rsidP="00000000" w:rsidRDefault="00000000" w:rsidRPr="00000000" w14:paraId="00000066">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67">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r w:rsidDel="00000000" w:rsidR="00000000" w:rsidRPr="00000000">
              <w:rPr>
                <w:rtl w:val="0"/>
              </w:rPr>
            </w:r>
          </w:p>
        </w:tc>
        <w:tc>
          <w:tcPr/>
          <w:p w:rsidR="00000000" w:rsidDel="00000000" w:rsidP="00000000" w:rsidRDefault="00000000" w:rsidRPr="00000000" w14:paraId="00000068">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69">
            <w:pPr>
              <w:spacing w:after="120" w:lineRule="auto"/>
              <w:ind w:left="61"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[Knowledge transfer]</w:t>
            </w:r>
          </w:p>
        </w:tc>
        <w:tc>
          <w:tcPr/>
          <w:p w:rsidR="00000000" w:rsidDel="00000000" w:rsidP="00000000" w:rsidRDefault="00000000" w:rsidRPr="00000000" w14:paraId="0000006A">
            <w:pPr>
              <w:spacing w:after="120" w:lineRule="auto"/>
              <w:ind w:left="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[Effective knowledge transfer from the Supplier to the Buyer’s staff]</w:t>
            </w:r>
          </w:p>
        </w:tc>
        <w:tc>
          <w:tcPr/>
          <w:p w:rsidR="00000000" w:rsidDel="00000000" w:rsidP="00000000" w:rsidRDefault="00000000" w:rsidRPr="00000000" w14:paraId="0000006B">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[100%]</w:t>
            </w:r>
          </w:p>
        </w:tc>
        <w:tc>
          <w:tcPr/>
          <w:p w:rsidR="00000000" w:rsidDel="00000000" w:rsidP="00000000" w:rsidRDefault="00000000" w:rsidRPr="00000000" w14:paraId="0000006C">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6D">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r w:rsidDel="00000000" w:rsidR="00000000" w:rsidRPr="00000000">
              <w:rPr>
                <w:rtl w:val="0"/>
              </w:rPr>
            </w:r>
          </w:p>
        </w:tc>
        <w:tc>
          <w:tcPr/>
          <w:p w:rsidR="00000000" w:rsidDel="00000000" w:rsidP="00000000" w:rsidRDefault="00000000" w:rsidRPr="00000000" w14:paraId="0000006E">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165" w:hRule="atLeast"/>
          <w:tblHeader w:val="0"/>
        </w:trPr>
        <w:tc>
          <w:tcPr/>
          <w:p w:rsidR="00000000" w:rsidDel="00000000" w:rsidP="00000000" w:rsidRDefault="00000000" w:rsidRPr="00000000" w14:paraId="0000006F">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[Employee well-being and satisfaction  ]</w:t>
            </w:r>
            <w:r w:rsidDel="00000000" w:rsidR="00000000" w:rsidRPr="00000000">
              <w:rPr>
                <w:rtl w:val="0"/>
              </w:rPr>
            </w:r>
          </w:p>
        </w:tc>
        <w:tc>
          <w:tcPr/>
          <w:p w:rsidR="00000000" w:rsidDel="00000000" w:rsidP="00000000" w:rsidRDefault="00000000" w:rsidRPr="00000000" w14:paraId="00000070">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[Adherence to ethical standards and responsible business practices which may include transparency, fairness and integrity]</w:t>
            </w:r>
            <w:r w:rsidDel="00000000" w:rsidR="00000000" w:rsidRPr="00000000">
              <w:rPr>
                <w:rtl w:val="0"/>
              </w:rPr>
            </w:r>
          </w:p>
        </w:tc>
        <w:tc>
          <w:tcPr/>
          <w:p w:rsidR="00000000" w:rsidDel="00000000" w:rsidP="00000000" w:rsidRDefault="00000000" w:rsidRPr="00000000" w14:paraId="00000071">
            <w:pPr>
              <w:spacing w:after="12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[100%]</w:t>
            </w:r>
            <w:r w:rsidDel="00000000" w:rsidR="00000000" w:rsidRPr="00000000">
              <w:rPr>
                <w:rtl w:val="0"/>
              </w:rPr>
            </w:r>
          </w:p>
        </w:tc>
        <w:tc>
          <w:tcPr/>
          <w:p w:rsidR="00000000" w:rsidDel="00000000" w:rsidP="00000000" w:rsidRDefault="00000000" w:rsidRPr="00000000" w14:paraId="00000072">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73">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r w:rsidDel="00000000" w:rsidR="00000000" w:rsidRPr="00000000">
              <w:rPr>
                <w:rtl w:val="0"/>
              </w:rPr>
            </w:r>
          </w:p>
        </w:tc>
        <w:tc>
          <w:tcPr/>
          <w:p w:rsidR="00000000" w:rsidDel="00000000" w:rsidP="00000000" w:rsidRDefault="00000000" w:rsidRPr="00000000" w14:paraId="00000074">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165" w:hRule="atLeast"/>
          <w:tblHeader w:val="0"/>
        </w:trPr>
        <w:tc>
          <w:tcPr/>
          <w:p w:rsidR="00000000" w:rsidDel="00000000" w:rsidP="00000000" w:rsidRDefault="00000000" w:rsidRPr="00000000" w14:paraId="00000075">
            <w:pPr>
              <w:spacing w:after="120" w:lineRule="auto"/>
              <w:ind w:left="61"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76">
            <w:pPr>
              <w:spacing w:after="12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77">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78">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79">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7A">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bl>
    <w:p w:rsidR="00000000" w:rsidDel="00000000" w:rsidP="00000000" w:rsidRDefault="00000000" w:rsidRPr="00000000" w14:paraId="0000007B">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7C">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7D">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7E">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y% (actual Service Level performance)  </w:t>
            </w:r>
          </w:p>
        </w:tc>
        <w:tc>
          <w:tcPr/>
          <w:p w:rsidR="00000000" w:rsidDel="00000000" w:rsidP="00000000" w:rsidRDefault="00000000" w:rsidRPr="00000000" w14:paraId="0000007F">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80">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81">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82">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83">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84">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85">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8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Part B: Performance Monitoring </w:t>
      </w:r>
    </w:p>
    <w:p w:rsidR="00000000" w:rsidDel="00000000" w:rsidP="00000000" w:rsidRDefault="00000000" w:rsidRPr="00000000" w14:paraId="0000008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8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89">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8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8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8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8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8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8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90">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9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9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9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9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9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9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9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9D">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RM6309</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A1">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w:t>
    </w:r>
    <w:r w:rsidDel="00000000" w:rsidR="00000000" w:rsidRPr="00000000">
      <w:rPr>
        <w:rFonts w:ascii="Arial" w:cs="Arial" w:eastAsia="Arial" w:hAnsi="Arial"/>
        <w:sz w:val="20"/>
        <w:szCs w:val="20"/>
        <w:rtl w:val="0"/>
      </w:rPr>
      <w:t xml:space="preserve">4</w:t>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character" w:styleId="Hyperlink">
    <w:name w:val="Hyperlink"/>
    <w:uiPriority w:val="99"/>
    <w:rsid w:val="0079190E"/>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the-sourcing-and-consultancy-playbook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Pyes7xfCGvM+rbgbbji7Hnidfw==">CgMxLjAyCGguZ2pkZ3hzMgloLjMwajB6bGw4AHIhMWM1TUVsaFdJeGVGUnJkNkRDbVg5UWJsa0FOUVF3WTJt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2023-02-22T13:16:00Z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